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BE9CC" w14:textId="77777777" w:rsidR="00DE343E" w:rsidRPr="007E6B06" w:rsidRDefault="00DE343E" w:rsidP="00DE343E">
      <w:pPr>
        <w:rPr>
          <w:rFonts w:asciiTheme="minorHAnsi" w:hAnsiTheme="minorHAnsi" w:cstheme="minorHAnsi"/>
          <w:sz w:val="24"/>
          <w:szCs w:val="24"/>
        </w:rPr>
      </w:pPr>
      <w:r w:rsidRPr="007E6B06">
        <w:rPr>
          <w:noProof/>
        </w:rPr>
        <w:drawing>
          <wp:anchor distT="0" distB="0" distL="114300" distR="114300" simplePos="0" relativeHeight="251659264" behindDoc="0" locked="0" layoutInCell="1" allowOverlap="1" wp14:anchorId="0C184FC7" wp14:editId="1BB92EE1">
            <wp:simplePos x="0" y="0"/>
            <wp:positionH relativeFrom="margin">
              <wp:posOffset>4178935</wp:posOffset>
            </wp:positionH>
            <wp:positionV relativeFrom="margin">
              <wp:posOffset>-514350</wp:posOffset>
            </wp:positionV>
            <wp:extent cx="1408430" cy="2011045"/>
            <wp:effectExtent l="0" t="0" r="1270" b="8255"/>
            <wp:wrapSquare wrapText="bothSides"/>
            <wp:docPr id="1" name="Picture 1" descr="CVSCAT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SCAT_Logo_b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8430" cy="2011045"/>
                    </a:xfrm>
                    <a:prstGeom prst="rect">
                      <a:avLst/>
                    </a:prstGeom>
                    <a:noFill/>
                  </pic:spPr>
                </pic:pic>
              </a:graphicData>
            </a:graphic>
            <wp14:sizeRelH relativeFrom="page">
              <wp14:pctWidth>0</wp14:pctWidth>
            </wp14:sizeRelH>
            <wp14:sizeRelV relativeFrom="page">
              <wp14:pctHeight>0</wp14:pctHeight>
            </wp14:sizeRelV>
          </wp:anchor>
        </w:drawing>
      </w:r>
      <w:r w:rsidRPr="007E6B06">
        <w:rPr>
          <w:rFonts w:asciiTheme="minorHAnsi" w:hAnsiTheme="minorHAnsi" w:cstheme="minorHAnsi"/>
          <w:sz w:val="24"/>
          <w:szCs w:val="24"/>
        </w:rPr>
        <w:t>FOR IMMEDIATE RELEASE</w:t>
      </w:r>
    </w:p>
    <w:p w14:paraId="1AF52388" w14:textId="6EBBE9BC" w:rsidR="00DE343E" w:rsidRPr="007E6B06" w:rsidRDefault="002641F7" w:rsidP="00DE343E">
      <w:pPr>
        <w:rPr>
          <w:rFonts w:asciiTheme="minorHAnsi" w:hAnsiTheme="minorHAnsi" w:cstheme="minorHAnsi"/>
          <w:sz w:val="24"/>
          <w:szCs w:val="24"/>
        </w:rPr>
      </w:pPr>
      <w:r>
        <w:rPr>
          <w:rFonts w:asciiTheme="minorHAnsi" w:hAnsiTheme="minorHAnsi" w:cstheme="minorHAnsi"/>
          <w:sz w:val="24"/>
          <w:szCs w:val="24"/>
        </w:rPr>
        <w:t>June 25</w:t>
      </w:r>
      <w:r w:rsidR="00DE343E" w:rsidRPr="007E6B06">
        <w:rPr>
          <w:rFonts w:asciiTheme="minorHAnsi" w:hAnsiTheme="minorHAnsi" w:cstheme="minorHAnsi"/>
          <w:sz w:val="24"/>
          <w:szCs w:val="24"/>
        </w:rPr>
        <w:t>, 2021</w:t>
      </w:r>
    </w:p>
    <w:p w14:paraId="4960EBE0" w14:textId="77777777" w:rsidR="00DE343E" w:rsidRPr="007E6B06" w:rsidRDefault="00DE343E" w:rsidP="00DE343E">
      <w:pPr>
        <w:rPr>
          <w:rFonts w:asciiTheme="minorHAnsi" w:hAnsiTheme="minorHAnsi" w:cstheme="minorHAnsi"/>
          <w:sz w:val="24"/>
          <w:szCs w:val="24"/>
        </w:rPr>
      </w:pPr>
      <w:r w:rsidRPr="007E6B06">
        <w:rPr>
          <w:rFonts w:asciiTheme="minorHAnsi" w:hAnsiTheme="minorHAnsi" w:cstheme="minorHAnsi"/>
          <w:sz w:val="24"/>
          <w:szCs w:val="24"/>
        </w:rPr>
        <w:t xml:space="preserve">Contact: Helen </w:t>
      </w:r>
      <w:proofErr w:type="spellStart"/>
      <w:r w:rsidRPr="007E6B06">
        <w:rPr>
          <w:rFonts w:asciiTheme="minorHAnsi" w:hAnsiTheme="minorHAnsi" w:cstheme="minorHAnsi"/>
          <w:sz w:val="24"/>
          <w:szCs w:val="24"/>
        </w:rPr>
        <w:t>Nerska</w:t>
      </w:r>
      <w:proofErr w:type="spellEnd"/>
      <w:r w:rsidRPr="007E6B06">
        <w:rPr>
          <w:rFonts w:asciiTheme="minorHAnsi" w:hAnsiTheme="minorHAnsi" w:cstheme="minorHAnsi"/>
          <w:sz w:val="24"/>
          <w:szCs w:val="24"/>
        </w:rPr>
        <w:t>, Director</w:t>
      </w:r>
    </w:p>
    <w:p w14:paraId="2645D78E" w14:textId="77777777" w:rsidR="00DE343E" w:rsidRPr="007E6B06" w:rsidRDefault="00DE343E" w:rsidP="00DE343E">
      <w:pPr>
        <w:rPr>
          <w:rFonts w:asciiTheme="minorHAnsi" w:hAnsiTheme="minorHAnsi" w:cstheme="minorHAnsi"/>
          <w:sz w:val="24"/>
          <w:szCs w:val="24"/>
        </w:rPr>
      </w:pPr>
      <w:r w:rsidRPr="007E6B06">
        <w:rPr>
          <w:rFonts w:asciiTheme="minorHAnsi" w:hAnsiTheme="minorHAnsi" w:cstheme="minorHAnsi"/>
          <w:sz w:val="24"/>
          <w:szCs w:val="24"/>
        </w:rPr>
        <w:t>Clinton County Historical Association</w:t>
      </w:r>
      <w:r w:rsidRPr="007E6B06">
        <w:rPr>
          <w:rFonts w:asciiTheme="minorHAnsi" w:hAnsiTheme="minorHAnsi" w:cstheme="minorHAnsi"/>
          <w:sz w:val="24"/>
          <w:szCs w:val="24"/>
        </w:rPr>
        <w:tab/>
        <w:t xml:space="preserve">     </w:t>
      </w:r>
    </w:p>
    <w:p w14:paraId="606B1AA1" w14:textId="22284471" w:rsidR="00DE343E" w:rsidRPr="007E6B06" w:rsidRDefault="002641F7" w:rsidP="00DE343E">
      <w:pPr>
        <w:rPr>
          <w:rFonts w:asciiTheme="minorHAnsi" w:hAnsiTheme="minorHAnsi" w:cstheme="minorHAnsi"/>
          <w:sz w:val="24"/>
          <w:szCs w:val="24"/>
        </w:rPr>
      </w:pPr>
      <w:r w:rsidRPr="002641F7">
        <w:rPr>
          <w:rFonts w:asciiTheme="minorHAnsi" w:hAnsiTheme="minorHAnsi" w:cstheme="minorHAnsi"/>
          <w:sz w:val="24"/>
          <w:szCs w:val="24"/>
        </w:rPr>
        <w:t>518-561-0340</w:t>
      </w:r>
      <w:r w:rsidR="00DE343E" w:rsidRPr="007E6B06">
        <w:rPr>
          <w:rFonts w:asciiTheme="minorHAnsi" w:hAnsiTheme="minorHAnsi" w:cstheme="minorHAnsi"/>
          <w:sz w:val="24"/>
          <w:szCs w:val="24"/>
        </w:rPr>
        <w:tab/>
      </w:r>
      <w:r w:rsidR="00DE343E" w:rsidRPr="007E6B06">
        <w:rPr>
          <w:rFonts w:asciiTheme="minorHAnsi" w:hAnsiTheme="minorHAnsi" w:cstheme="minorHAnsi"/>
          <w:sz w:val="24"/>
          <w:szCs w:val="24"/>
        </w:rPr>
        <w:tab/>
      </w:r>
    </w:p>
    <w:p w14:paraId="25E9EAC5" w14:textId="303A3076" w:rsidR="00DE343E" w:rsidRPr="007E6B06" w:rsidRDefault="002641F7" w:rsidP="00DE343E">
      <w:pPr>
        <w:rPr>
          <w:rFonts w:ascii="Arial" w:hAnsi="Arial" w:cs="Arial"/>
          <w:sz w:val="24"/>
          <w:szCs w:val="24"/>
        </w:rPr>
      </w:pPr>
      <w:hyperlink r:id="rId5" w:tgtFrame="_blank" w:history="1">
        <w:r w:rsidRPr="002641F7">
          <w:rPr>
            <w:rStyle w:val="Hyperlink"/>
            <w:rFonts w:ascii="Arial" w:hAnsi="Arial" w:cs="Arial"/>
            <w:sz w:val="24"/>
            <w:szCs w:val="24"/>
          </w:rPr>
          <w:t>director@clintoncountyhistorical.org</w:t>
        </w:r>
      </w:hyperlink>
    </w:p>
    <w:p w14:paraId="19E04649" w14:textId="77777777" w:rsidR="00DE343E" w:rsidRPr="007E6B06" w:rsidRDefault="00DE343E" w:rsidP="00DE343E">
      <w:pPr>
        <w:rPr>
          <w:rFonts w:ascii="Arial" w:hAnsi="Arial" w:cs="Arial"/>
          <w:sz w:val="24"/>
          <w:szCs w:val="24"/>
        </w:rPr>
      </w:pPr>
    </w:p>
    <w:p w14:paraId="4BF51345" w14:textId="77777777" w:rsidR="00DE343E" w:rsidRPr="007E6B06" w:rsidRDefault="00DE343E" w:rsidP="00DE343E">
      <w:pPr>
        <w:rPr>
          <w:rFonts w:ascii="Arial" w:hAnsi="Arial" w:cs="Arial"/>
          <w:sz w:val="24"/>
          <w:szCs w:val="24"/>
        </w:rPr>
      </w:pPr>
    </w:p>
    <w:p w14:paraId="13F1131D" w14:textId="77777777" w:rsidR="00DE343E" w:rsidRPr="007E6B06" w:rsidRDefault="00DE343E" w:rsidP="00DE343E">
      <w:pPr>
        <w:rPr>
          <w:rFonts w:ascii="Arial" w:hAnsi="Arial" w:cs="Arial"/>
          <w:sz w:val="24"/>
          <w:szCs w:val="24"/>
        </w:rPr>
      </w:pPr>
    </w:p>
    <w:p w14:paraId="2276F93B" w14:textId="77777777" w:rsidR="00DE343E" w:rsidRPr="007E6B06" w:rsidRDefault="00DE343E" w:rsidP="00DE343E">
      <w:pPr>
        <w:jc w:val="center"/>
        <w:rPr>
          <w:rFonts w:asciiTheme="minorHAnsi" w:hAnsiTheme="minorHAnsi" w:cstheme="minorHAnsi"/>
          <w:b/>
          <w:sz w:val="24"/>
          <w:szCs w:val="24"/>
        </w:rPr>
      </w:pPr>
      <w:r w:rsidRPr="007E6B06">
        <w:rPr>
          <w:rFonts w:asciiTheme="minorHAnsi" w:hAnsiTheme="minorHAnsi" w:cstheme="minorHAnsi"/>
          <w:b/>
          <w:sz w:val="24"/>
          <w:szCs w:val="24"/>
        </w:rPr>
        <w:t>CLINTON COUNTY HISTORICAL ASSOCIATION RECEIVES GRANT FROM</w:t>
      </w:r>
    </w:p>
    <w:p w14:paraId="49442107" w14:textId="77777777" w:rsidR="00DE343E" w:rsidRPr="007E6B06" w:rsidRDefault="00DE343E" w:rsidP="00DE343E">
      <w:pPr>
        <w:jc w:val="center"/>
        <w:rPr>
          <w:rFonts w:asciiTheme="minorHAnsi" w:hAnsiTheme="minorHAnsi" w:cstheme="minorHAnsi"/>
          <w:b/>
          <w:sz w:val="24"/>
          <w:szCs w:val="24"/>
        </w:rPr>
      </w:pPr>
      <w:r w:rsidRPr="007E6B06">
        <w:rPr>
          <w:rFonts w:asciiTheme="minorHAnsi" w:hAnsiTheme="minorHAnsi" w:cstheme="minorHAnsi"/>
          <w:b/>
          <w:color w:val="000000"/>
          <w:sz w:val="24"/>
          <w:szCs w:val="24"/>
        </w:rPr>
        <w:t>NEIWPCC AND</w:t>
      </w:r>
      <w:r w:rsidRPr="007E6B06">
        <w:rPr>
          <w:rFonts w:asciiTheme="minorHAnsi" w:hAnsiTheme="minorHAnsi" w:cstheme="minorHAnsi"/>
          <w:b/>
          <w:color w:val="040400"/>
          <w:sz w:val="24"/>
          <w:szCs w:val="24"/>
        </w:rPr>
        <w:t xml:space="preserve"> </w:t>
      </w:r>
      <w:r w:rsidRPr="007E6B06">
        <w:rPr>
          <w:rFonts w:asciiTheme="minorHAnsi" w:hAnsiTheme="minorHAnsi" w:cstheme="minorHAnsi"/>
          <w:b/>
          <w:color w:val="202000"/>
          <w:sz w:val="24"/>
          <w:szCs w:val="24"/>
        </w:rPr>
        <w:t>THE LAKE CHAMPLAIN BASIN PROGRAM</w:t>
      </w:r>
    </w:p>
    <w:p w14:paraId="55B3E627" w14:textId="77777777" w:rsidR="00DE343E" w:rsidRPr="007E6B06" w:rsidRDefault="00DE343E" w:rsidP="00DE343E">
      <w:pPr>
        <w:jc w:val="center"/>
        <w:rPr>
          <w:rFonts w:ascii="Arial" w:hAnsi="Arial" w:cs="Arial"/>
          <w:sz w:val="24"/>
          <w:szCs w:val="24"/>
        </w:rPr>
      </w:pPr>
    </w:p>
    <w:p w14:paraId="7191537C" w14:textId="79E7A860" w:rsidR="00DE343E" w:rsidRPr="007E6B06" w:rsidRDefault="00DE343E" w:rsidP="00DE343E">
      <w:pPr>
        <w:spacing w:line="480" w:lineRule="auto"/>
        <w:rPr>
          <w:rFonts w:ascii="Arial" w:hAnsi="Arial" w:cs="Arial"/>
          <w:sz w:val="24"/>
          <w:szCs w:val="24"/>
        </w:rPr>
      </w:pPr>
      <w:r w:rsidRPr="007E6B06">
        <w:rPr>
          <w:rFonts w:ascii="Arial" w:hAnsi="Arial" w:cs="Arial"/>
          <w:sz w:val="24"/>
          <w:szCs w:val="24"/>
        </w:rPr>
        <w:t xml:space="preserve">PLATTSBURGH, NY— Clinton County Historical Association (CCHA) </w:t>
      </w:r>
      <w:r w:rsidR="00097BFC" w:rsidRPr="00097BFC">
        <w:rPr>
          <w:rFonts w:ascii="Arial" w:hAnsi="Arial" w:cs="Arial"/>
          <w:sz w:val="24"/>
          <w:szCs w:val="24"/>
        </w:rPr>
        <w:t>received a $15,000 Champlain Valley National Heritage Partnership (CVNHP) Special Program grant from the Lake Champlain Basin Program to support a series of regional events this summer called The Champlain Valley Suffrage Centennial Auto Tour.</w:t>
      </w:r>
    </w:p>
    <w:p w14:paraId="2C16E82A" w14:textId="77777777" w:rsidR="00097BFC" w:rsidRDefault="00097BFC" w:rsidP="00DE343E">
      <w:pPr>
        <w:spacing w:line="480" w:lineRule="auto"/>
        <w:rPr>
          <w:rFonts w:ascii="Arial" w:hAnsi="Arial" w:cs="Arial"/>
          <w:sz w:val="24"/>
          <w:szCs w:val="24"/>
        </w:rPr>
      </w:pPr>
    </w:p>
    <w:p w14:paraId="6F3CBCC5" w14:textId="0E085913" w:rsidR="00DE343E" w:rsidRPr="007E6B06" w:rsidRDefault="00DE343E" w:rsidP="00DE343E">
      <w:pPr>
        <w:spacing w:line="480" w:lineRule="auto"/>
        <w:rPr>
          <w:rFonts w:ascii="Arial" w:hAnsi="Arial" w:cs="Arial"/>
          <w:sz w:val="24"/>
          <w:szCs w:val="24"/>
        </w:rPr>
      </w:pPr>
      <w:r w:rsidRPr="007E6B06">
        <w:rPr>
          <w:rFonts w:ascii="Arial" w:hAnsi="Arial" w:cs="Arial"/>
          <w:sz w:val="24"/>
          <w:szCs w:val="24"/>
        </w:rPr>
        <w:t>The Champlain Valley Suffrage Centennial Auto Tour will take place on successive weekends from July 31 through August 21, 2021 to celebrate the</w:t>
      </w:r>
      <w:r w:rsidR="00097BFC">
        <w:rPr>
          <w:rFonts w:ascii="Arial" w:hAnsi="Arial" w:cs="Arial"/>
          <w:sz w:val="24"/>
          <w:szCs w:val="24"/>
        </w:rPr>
        <w:t xml:space="preserve"> 101st</w:t>
      </w:r>
      <w:r w:rsidRPr="007E6B06">
        <w:rPr>
          <w:rFonts w:ascii="Arial" w:hAnsi="Arial" w:cs="Arial"/>
          <w:sz w:val="24"/>
          <w:szCs w:val="24"/>
        </w:rPr>
        <w:t xml:space="preserve"> anniversary of the ratification of the 19th Amendment. The tour will pay homage to the effective strategies that suffragists employed locally as well as nationally — rallies, pageants, parades, speeches,</w:t>
      </w:r>
      <w:r w:rsidR="0049243E" w:rsidRPr="007E6B06">
        <w:rPr>
          <w:rFonts w:ascii="Arial" w:hAnsi="Arial" w:cs="Arial"/>
          <w:sz w:val="24"/>
          <w:szCs w:val="24"/>
        </w:rPr>
        <w:t xml:space="preserve"> and</w:t>
      </w:r>
      <w:r w:rsidRPr="007E6B06">
        <w:rPr>
          <w:rFonts w:ascii="Arial" w:hAnsi="Arial" w:cs="Arial"/>
          <w:sz w:val="24"/>
          <w:szCs w:val="24"/>
        </w:rPr>
        <w:t xml:space="preserve"> auto tours. Antique automobiles and costumed participants will create the atmosphere of the era of the suffrage movement. Planned events include, but are not limited to: </w:t>
      </w:r>
      <w:r w:rsidR="0049243E" w:rsidRPr="007E6B06">
        <w:rPr>
          <w:rFonts w:ascii="Arial" w:hAnsi="Arial" w:cs="Arial"/>
          <w:sz w:val="24"/>
          <w:szCs w:val="24"/>
        </w:rPr>
        <w:t>(</w:t>
      </w:r>
      <w:r w:rsidRPr="007E6B06">
        <w:rPr>
          <w:rFonts w:ascii="Arial" w:hAnsi="Arial" w:cs="Arial"/>
          <w:sz w:val="24"/>
          <w:szCs w:val="24"/>
        </w:rPr>
        <w:t>1) re-enactment</w:t>
      </w:r>
      <w:r w:rsidR="007E6B06" w:rsidRPr="007E6B06">
        <w:rPr>
          <w:rFonts w:ascii="Arial" w:hAnsi="Arial" w:cs="Arial"/>
          <w:sz w:val="24"/>
          <w:szCs w:val="24"/>
        </w:rPr>
        <w:t xml:space="preserve"> of Susan B. Anthony’s speeches</w:t>
      </w:r>
      <w:r w:rsidRPr="007E6B06">
        <w:rPr>
          <w:rFonts w:ascii="Arial" w:hAnsi="Arial" w:cs="Arial"/>
          <w:sz w:val="24"/>
          <w:szCs w:val="24"/>
        </w:rPr>
        <w:t xml:space="preserve">; </w:t>
      </w:r>
      <w:r w:rsidR="0049243E" w:rsidRPr="007E6B06">
        <w:rPr>
          <w:rFonts w:ascii="Arial" w:hAnsi="Arial" w:cs="Arial"/>
          <w:sz w:val="24"/>
          <w:szCs w:val="24"/>
        </w:rPr>
        <w:t>(</w:t>
      </w:r>
      <w:r w:rsidRPr="007E6B06">
        <w:rPr>
          <w:rFonts w:ascii="Arial" w:hAnsi="Arial" w:cs="Arial"/>
          <w:sz w:val="24"/>
          <w:szCs w:val="24"/>
        </w:rPr>
        <w:t>2) re-enactments of the military-s</w:t>
      </w:r>
      <w:r w:rsidR="007E6B06" w:rsidRPr="007E6B06">
        <w:rPr>
          <w:rFonts w:ascii="Arial" w:hAnsi="Arial" w:cs="Arial"/>
          <w:sz w:val="24"/>
          <w:szCs w:val="24"/>
        </w:rPr>
        <w:t>tyle drills of “Broom Brigades”</w:t>
      </w:r>
      <w:r w:rsidRPr="007E6B06">
        <w:rPr>
          <w:rFonts w:ascii="Arial" w:hAnsi="Arial" w:cs="Arial"/>
          <w:sz w:val="24"/>
          <w:szCs w:val="24"/>
        </w:rPr>
        <w:t xml:space="preserve">; </w:t>
      </w:r>
      <w:r w:rsidR="0049243E" w:rsidRPr="007E6B06">
        <w:rPr>
          <w:rFonts w:ascii="Arial" w:hAnsi="Arial" w:cs="Arial"/>
          <w:sz w:val="24"/>
          <w:szCs w:val="24"/>
        </w:rPr>
        <w:t>(</w:t>
      </w:r>
      <w:r w:rsidRPr="007E6B06">
        <w:rPr>
          <w:rFonts w:ascii="Arial" w:hAnsi="Arial" w:cs="Arial"/>
          <w:sz w:val="24"/>
          <w:szCs w:val="24"/>
        </w:rPr>
        <w:t>3) re-enactment of the 1924 “Forward into Light” pageant organized by National Wom</w:t>
      </w:r>
      <w:r w:rsidR="0049243E" w:rsidRPr="007E6B06">
        <w:rPr>
          <w:rFonts w:ascii="Arial" w:hAnsi="Arial" w:cs="Arial"/>
          <w:sz w:val="24"/>
          <w:szCs w:val="24"/>
        </w:rPr>
        <w:t>a</w:t>
      </w:r>
      <w:r w:rsidRPr="007E6B06">
        <w:rPr>
          <w:rFonts w:ascii="Arial" w:hAnsi="Arial" w:cs="Arial"/>
          <w:sz w:val="24"/>
          <w:szCs w:val="24"/>
        </w:rPr>
        <w:t xml:space="preserve">n’s Party leader Alice Paul to honor suffrage martyr Inez </w:t>
      </w:r>
      <w:proofErr w:type="spellStart"/>
      <w:r w:rsidRPr="007E6B06">
        <w:rPr>
          <w:rFonts w:ascii="Arial" w:hAnsi="Arial" w:cs="Arial"/>
          <w:sz w:val="24"/>
          <w:szCs w:val="24"/>
        </w:rPr>
        <w:t>Milholland</w:t>
      </w:r>
      <w:proofErr w:type="spellEnd"/>
      <w:r w:rsidRPr="007E6B06">
        <w:rPr>
          <w:rFonts w:ascii="Arial" w:hAnsi="Arial" w:cs="Arial"/>
          <w:sz w:val="24"/>
          <w:szCs w:val="24"/>
        </w:rPr>
        <w:t xml:space="preserve">; (4) discussion of intersectionality and racism in the women’s suffrage movement and highlighting suffragists of color; (5) a cavalcade of </w:t>
      </w:r>
      <w:r w:rsidRPr="007E6B06">
        <w:rPr>
          <w:rFonts w:ascii="Arial" w:hAnsi="Arial" w:cs="Arial"/>
          <w:sz w:val="24"/>
          <w:szCs w:val="24"/>
        </w:rPr>
        <w:lastRenderedPageBreak/>
        <w:t>cars and costumed re-enactors crossing the Champlain Bridge from Addison, VT to Crown Point, NY; (6) suffrage song concert by Peggy Lynn and Dan Duggan.</w:t>
      </w:r>
    </w:p>
    <w:p w14:paraId="5C35A6C3" w14:textId="3A02D266" w:rsidR="0049243E" w:rsidRPr="007E6B06" w:rsidRDefault="0049243E" w:rsidP="0049243E">
      <w:pPr>
        <w:spacing w:line="480" w:lineRule="auto"/>
        <w:rPr>
          <w:rFonts w:ascii="Arial" w:hAnsi="Arial" w:cs="Arial"/>
          <w:sz w:val="24"/>
          <w:szCs w:val="24"/>
        </w:rPr>
      </w:pPr>
    </w:p>
    <w:p w14:paraId="0822D42C" w14:textId="21F95EA9" w:rsidR="00DE343E" w:rsidRPr="007E6B06" w:rsidRDefault="00DE343E" w:rsidP="00DE343E">
      <w:pPr>
        <w:spacing w:line="480" w:lineRule="auto"/>
        <w:rPr>
          <w:rFonts w:ascii="Arial" w:hAnsi="Arial" w:cs="Arial"/>
          <w:sz w:val="24"/>
          <w:szCs w:val="24"/>
        </w:rPr>
      </w:pPr>
      <w:r w:rsidRPr="007E6B06">
        <w:rPr>
          <w:rFonts w:ascii="Arial" w:hAnsi="Arial" w:cs="Arial"/>
          <w:sz w:val="24"/>
          <w:szCs w:val="24"/>
        </w:rPr>
        <w:t xml:space="preserve">Various regional organizations will help with the presentation of history and the activities at each location. In addition to CCHA, the following sites and municipalities are hosting events of the auto tour: North Country Underground Railroad Historical Association in </w:t>
      </w:r>
      <w:proofErr w:type="spellStart"/>
      <w:r w:rsidRPr="007E6B06">
        <w:rPr>
          <w:rFonts w:ascii="Arial" w:hAnsi="Arial" w:cs="Arial"/>
          <w:sz w:val="24"/>
          <w:szCs w:val="24"/>
        </w:rPr>
        <w:t>Ausable</w:t>
      </w:r>
      <w:proofErr w:type="spellEnd"/>
      <w:r w:rsidRPr="007E6B06">
        <w:rPr>
          <w:rFonts w:ascii="Arial" w:hAnsi="Arial" w:cs="Arial"/>
          <w:sz w:val="24"/>
          <w:szCs w:val="24"/>
        </w:rPr>
        <w:t xml:space="preserve"> Chasm; the towns of Lewis and Elizabethtown; </w:t>
      </w:r>
      <w:r w:rsidR="00475377" w:rsidRPr="007E6B06">
        <w:rPr>
          <w:rFonts w:ascii="Arial" w:hAnsi="Arial" w:cs="Arial"/>
          <w:sz w:val="24"/>
          <w:szCs w:val="24"/>
        </w:rPr>
        <w:t xml:space="preserve">Meadowmount School of Music; </w:t>
      </w:r>
      <w:r w:rsidRPr="007E6B06">
        <w:rPr>
          <w:rFonts w:ascii="Arial" w:hAnsi="Arial" w:cs="Arial"/>
          <w:sz w:val="24"/>
          <w:szCs w:val="24"/>
        </w:rPr>
        <w:t>Lake Champlain Maritime Museum in Vergennes, VT; Chimney Point State Historic Site in Addison, VT; and Crandall Public Library in Glens Falls. For more information on dates and times visit champlainvalleywomen.com.</w:t>
      </w:r>
    </w:p>
    <w:p w14:paraId="4AE7BF7F" w14:textId="6E417F6C" w:rsidR="00475377" w:rsidRPr="007E6B06" w:rsidRDefault="00475377" w:rsidP="00475377">
      <w:pPr>
        <w:spacing w:line="480" w:lineRule="auto"/>
        <w:rPr>
          <w:rFonts w:ascii="Arial" w:hAnsi="Arial" w:cs="Arial"/>
          <w:sz w:val="24"/>
          <w:szCs w:val="24"/>
        </w:rPr>
      </w:pPr>
      <w:bookmarkStart w:id="0" w:name="_GoBack"/>
      <w:bookmarkEnd w:id="0"/>
    </w:p>
    <w:p w14:paraId="3B32402D" w14:textId="2BD79954" w:rsidR="00DE343E" w:rsidRPr="007E6B06" w:rsidRDefault="00DE343E" w:rsidP="00DE343E">
      <w:pPr>
        <w:spacing w:line="480" w:lineRule="auto"/>
        <w:rPr>
          <w:rFonts w:ascii="Arial" w:hAnsi="Arial" w:cs="Arial"/>
          <w:sz w:val="24"/>
          <w:szCs w:val="24"/>
        </w:rPr>
      </w:pPr>
      <w:r w:rsidRPr="007E6B06">
        <w:rPr>
          <w:rFonts w:ascii="Arial" w:hAnsi="Arial" w:cs="Arial"/>
          <w:sz w:val="24"/>
          <w:szCs w:val="24"/>
        </w:rPr>
        <w:t xml:space="preserve">“We are grateful to </w:t>
      </w:r>
      <w:r w:rsidR="00483571" w:rsidRPr="00483571">
        <w:rPr>
          <w:rFonts w:ascii="Arial" w:hAnsi="Arial" w:cs="Arial"/>
          <w:sz w:val="24"/>
          <w:szCs w:val="24"/>
        </w:rPr>
        <w:t>the Lake Champlain Basin Program for the CVNHP funds</w:t>
      </w:r>
      <w:r w:rsidR="00483571">
        <w:rPr>
          <w:color w:val="000000"/>
          <w:sz w:val="27"/>
          <w:szCs w:val="27"/>
        </w:rPr>
        <w:t xml:space="preserve"> </w:t>
      </w:r>
      <w:r w:rsidRPr="007E6B06">
        <w:rPr>
          <w:rFonts w:ascii="Arial" w:hAnsi="Arial" w:cs="Arial"/>
          <w:sz w:val="24"/>
          <w:szCs w:val="24"/>
        </w:rPr>
        <w:t xml:space="preserve">to assist in our ambitious multi-day, multi-event celebration covering two states, four counties, and numerous historical and cultural institutions” stated Tisha Dolton, Chair of the auto tour committee.  “It may be a year after our initial plans, but our Suffrage Centennial celebrations will be worth the wait.”  </w:t>
      </w:r>
    </w:p>
    <w:p w14:paraId="11D4CDED" w14:textId="77777777" w:rsidR="00DE343E" w:rsidRPr="007E6B06" w:rsidRDefault="00DE343E" w:rsidP="00DE343E">
      <w:pPr>
        <w:spacing w:line="360" w:lineRule="auto"/>
        <w:jc w:val="center"/>
        <w:rPr>
          <w:rFonts w:ascii="Arial" w:hAnsi="Arial" w:cs="Arial"/>
          <w:sz w:val="24"/>
          <w:szCs w:val="24"/>
        </w:rPr>
      </w:pPr>
      <w:r w:rsidRPr="007E6B06">
        <w:rPr>
          <w:rFonts w:ascii="Arial" w:hAnsi="Arial" w:cs="Arial"/>
          <w:sz w:val="24"/>
          <w:szCs w:val="24"/>
        </w:rPr>
        <w:t>###</w:t>
      </w:r>
    </w:p>
    <w:p w14:paraId="2BECACD4" w14:textId="77777777" w:rsidR="00DE343E" w:rsidRPr="007E6B06" w:rsidRDefault="00DE343E" w:rsidP="00DE343E">
      <w:pPr>
        <w:spacing w:line="360" w:lineRule="auto"/>
        <w:rPr>
          <w:rFonts w:ascii="Arial" w:hAnsi="Arial" w:cs="Arial"/>
          <w:sz w:val="24"/>
          <w:szCs w:val="24"/>
        </w:rPr>
      </w:pPr>
    </w:p>
    <w:p w14:paraId="31AF0F8B" w14:textId="77777777" w:rsidR="00DE343E" w:rsidRPr="007E6B06" w:rsidRDefault="00DE343E" w:rsidP="00DE343E">
      <w:pPr>
        <w:rPr>
          <w:rFonts w:ascii="Arial" w:hAnsi="Arial" w:cs="Arial"/>
        </w:rPr>
      </w:pPr>
      <w:r w:rsidRPr="007E6B06">
        <w:rPr>
          <w:rFonts w:ascii="Arial" w:hAnsi="Arial" w:cs="Arial"/>
        </w:rPr>
        <w:t xml:space="preserve">Clinton County Historical Association is located at </w:t>
      </w:r>
      <w:r w:rsidRPr="007E6B06">
        <w:rPr>
          <w:rFonts w:asciiTheme="minorHAnsi" w:hAnsiTheme="minorHAnsi" w:cstheme="minorHAnsi"/>
          <w:color w:val="000000"/>
          <w:sz w:val="24"/>
          <w:szCs w:val="24"/>
        </w:rPr>
        <w:t>98 Ohio Avenue, Plattsburgh, NY 12903</w:t>
      </w:r>
      <w:r w:rsidRPr="007E6B06">
        <w:rPr>
          <w:rFonts w:asciiTheme="minorHAnsi" w:hAnsiTheme="minorHAnsi" w:cstheme="minorHAnsi"/>
          <w:sz w:val="24"/>
          <w:szCs w:val="24"/>
        </w:rPr>
        <w:t>.</w:t>
      </w:r>
      <w:r w:rsidRPr="007E6B06">
        <w:rPr>
          <w:rFonts w:ascii="Arial" w:hAnsi="Arial" w:cs="Arial"/>
        </w:rPr>
        <w:t xml:space="preserve">  Its objective to collect and preserve all available historical material connected or associated with the history of Clinton County. </w:t>
      </w:r>
    </w:p>
    <w:p w14:paraId="6400DC55" w14:textId="77777777" w:rsidR="00DE343E" w:rsidRPr="007E6B06" w:rsidRDefault="00DE343E" w:rsidP="00DE343E">
      <w:pPr>
        <w:spacing w:line="360" w:lineRule="auto"/>
        <w:rPr>
          <w:rFonts w:ascii="Arial" w:hAnsi="Arial" w:cs="Arial"/>
          <w:sz w:val="24"/>
          <w:szCs w:val="24"/>
        </w:rPr>
      </w:pPr>
    </w:p>
    <w:p w14:paraId="10118B43" w14:textId="2352526B" w:rsidR="00CF5362" w:rsidRPr="007E6B06" w:rsidRDefault="00475377">
      <w:pPr>
        <w:rPr>
          <w:rFonts w:ascii="Arial" w:hAnsi="Arial" w:cs="Arial"/>
          <w:color w:val="3C3C00"/>
        </w:rPr>
      </w:pPr>
      <w:r w:rsidRPr="007E6B06">
        <w:rPr>
          <w:rFonts w:ascii="Arial" w:hAnsi="Arial" w:cs="Arial"/>
          <w:color w:val="000000"/>
        </w:rPr>
        <w:t xml:space="preserve">This </w:t>
      </w:r>
      <w:r w:rsidRPr="007E6B06">
        <w:rPr>
          <w:rFonts w:ascii="Arial" w:hAnsi="Arial" w:cs="Arial"/>
          <w:color w:val="0A0A00"/>
        </w:rPr>
        <w:t xml:space="preserve">project </w:t>
      </w:r>
      <w:r w:rsidRPr="007E6B06">
        <w:rPr>
          <w:rFonts w:ascii="Arial" w:hAnsi="Arial" w:cs="Arial"/>
          <w:color w:val="060600"/>
        </w:rPr>
        <w:t xml:space="preserve">has </w:t>
      </w:r>
      <w:r w:rsidRPr="007E6B06">
        <w:rPr>
          <w:rFonts w:ascii="Arial" w:hAnsi="Arial" w:cs="Arial"/>
          <w:color w:val="000000"/>
        </w:rPr>
        <w:t xml:space="preserve">been funded by an agreement awarded </w:t>
      </w:r>
      <w:r w:rsidRPr="007E6B06">
        <w:rPr>
          <w:rFonts w:ascii="Arial" w:hAnsi="Arial" w:cs="Arial"/>
          <w:color w:val="505000"/>
        </w:rPr>
        <w:t xml:space="preserve">by </w:t>
      </w:r>
      <w:r w:rsidRPr="007E6B06">
        <w:rPr>
          <w:rFonts w:ascii="Arial" w:hAnsi="Arial" w:cs="Arial"/>
          <w:color w:val="000000"/>
        </w:rPr>
        <w:t xml:space="preserve">the Great Lakes </w:t>
      </w:r>
      <w:r w:rsidRPr="007E6B06">
        <w:rPr>
          <w:rFonts w:ascii="Arial" w:hAnsi="Arial" w:cs="Arial"/>
          <w:color w:val="010100"/>
        </w:rPr>
        <w:t xml:space="preserve">Fishery </w:t>
      </w:r>
      <w:r w:rsidRPr="007E6B06">
        <w:rPr>
          <w:rFonts w:ascii="Arial" w:hAnsi="Arial" w:cs="Arial"/>
          <w:color w:val="000000"/>
        </w:rPr>
        <w:t xml:space="preserve">Commission </w:t>
      </w:r>
      <w:r w:rsidRPr="007E6B06">
        <w:rPr>
          <w:rFonts w:ascii="Arial" w:hAnsi="Arial" w:cs="Arial"/>
          <w:color w:val="080800"/>
        </w:rPr>
        <w:t>(</w:t>
      </w:r>
      <w:r w:rsidRPr="007E6B06">
        <w:rPr>
          <w:rFonts w:ascii="Arial" w:hAnsi="Arial" w:cs="Arial"/>
          <w:color w:val="101000"/>
        </w:rPr>
        <w:t>GLFC</w:t>
      </w:r>
      <w:r w:rsidRPr="007E6B06">
        <w:rPr>
          <w:rFonts w:ascii="Arial" w:hAnsi="Arial" w:cs="Arial"/>
          <w:color w:val="050500"/>
        </w:rPr>
        <w:t xml:space="preserve">) </w:t>
      </w:r>
      <w:r w:rsidRPr="007E6B06">
        <w:rPr>
          <w:rFonts w:ascii="Arial" w:hAnsi="Arial" w:cs="Arial"/>
          <w:color w:val="000000"/>
        </w:rPr>
        <w:t xml:space="preserve">to </w:t>
      </w:r>
      <w:r w:rsidRPr="007E6B06">
        <w:rPr>
          <w:rFonts w:ascii="Arial" w:hAnsi="Arial" w:cs="Arial"/>
          <w:color w:val="020200"/>
        </w:rPr>
        <w:t xml:space="preserve">NEIWPCC </w:t>
      </w:r>
      <w:r w:rsidRPr="007E6B06">
        <w:rPr>
          <w:rFonts w:ascii="Arial" w:hAnsi="Arial" w:cs="Arial"/>
          <w:color w:val="000000"/>
        </w:rPr>
        <w:t xml:space="preserve">in </w:t>
      </w:r>
      <w:r w:rsidRPr="007E6B06">
        <w:rPr>
          <w:rFonts w:ascii="Arial" w:hAnsi="Arial" w:cs="Arial"/>
          <w:color w:val="0E0E00"/>
        </w:rPr>
        <w:t xml:space="preserve">partnership </w:t>
      </w:r>
      <w:r w:rsidRPr="007E6B06">
        <w:rPr>
          <w:rFonts w:ascii="Arial" w:hAnsi="Arial" w:cs="Arial"/>
          <w:color w:val="000000"/>
        </w:rPr>
        <w:t xml:space="preserve">with </w:t>
      </w:r>
      <w:r w:rsidRPr="007E6B06">
        <w:rPr>
          <w:rFonts w:ascii="Arial" w:hAnsi="Arial" w:cs="Arial"/>
          <w:color w:val="121200"/>
        </w:rPr>
        <w:t xml:space="preserve">the </w:t>
      </w:r>
      <w:r w:rsidRPr="007E6B06">
        <w:rPr>
          <w:rFonts w:ascii="Arial" w:hAnsi="Arial" w:cs="Arial"/>
          <w:color w:val="090900"/>
        </w:rPr>
        <w:t xml:space="preserve">Lake </w:t>
      </w:r>
      <w:r w:rsidRPr="007E6B06">
        <w:rPr>
          <w:rFonts w:ascii="Arial" w:hAnsi="Arial" w:cs="Arial"/>
          <w:color w:val="000000"/>
        </w:rPr>
        <w:t xml:space="preserve">Champlain Basin Program </w:t>
      </w:r>
      <w:r w:rsidRPr="007E6B06">
        <w:rPr>
          <w:rFonts w:ascii="Arial" w:hAnsi="Arial" w:cs="Arial"/>
          <w:color w:val="505000"/>
        </w:rPr>
        <w:t>(</w:t>
      </w:r>
      <w:r w:rsidRPr="007E6B06">
        <w:rPr>
          <w:rFonts w:ascii="Arial" w:hAnsi="Arial" w:cs="Arial"/>
          <w:color w:val="000000"/>
        </w:rPr>
        <w:t>LCBP</w:t>
      </w:r>
      <w:r w:rsidRPr="007E6B06">
        <w:rPr>
          <w:rFonts w:ascii="Arial" w:hAnsi="Arial" w:cs="Arial"/>
          <w:color w:val="505000"/>
        </w:rPr>
        <w:t>)</w:t>
      </w:r>
      <w:r w:rsidRPr="007E6B06">
        <w:rPr>
          <w:rFonts w:ascii="Arial" w:hAnsi="Arial" w:cs="Arial"/>
          <w:color w:val="EBEB00"/>
        </w:rPr>
        <w:t xml:space="preserve">. </w:t>
      </w:r>
      <w:r w:rsidRPr="007E6B06">
        <w:rPr>
          <w:rFonts w:ascii="Arial" w:hAnsi="Arial" w:cs="Arial"/>
          <w:color w:val="060600"/>
        </w:rPr>
        <w:t xml:space="preserve">The </w:t>
      </w:r>
      <w:r w:rsidRPr="007E6B06">
        <w:rPr>
          <w:rFonts w:ascii="Arial" w:hAnsi="Arial" w:cs="Arial"/>
          <w:color w:val="000000"/>
        </w:rPr>
        <w:t xml:space="preserve">contents </w:t>
      </w:r>
      <w:r w:rsidRPr="007E6B06">
        <w:rPr>
          <w:rFonts w:ascii="Arial" w:hAnsi="Arial" w:cs="Arial"/>
          <w:color w:val="060600"/>
        </w:rPr>
        <w:t xml:space="preserve">of </w:t>
      </w:r>
      <w:r w:rsidRPr="007E6B06">
        <w:rPr>
          <w:rFonts w:ascii="Arial" w:hAnsi="Arial" w:cs="Arial"/>
          <w:color w:val="000000"/>
        </w:rPr>
        <w:t xml:space="preserve">this document </w:t>
      </w:r>
      <w:r w:rsidRPr="007E6B06">
        <w:rPr>
          <w:rFonts w:ascii="Arial" w:hAnsi="Arial" w:cs="Arial"/>
          <w:color w:val="060600"/>
        </w:rPr>
        <w:t xml:space="preserve">do </w:t>
      </w:r>
      <w:r w:rsidRPr="007E6B06">
        <w:rPr>
          <w:rFonts w:ascii="Arial" w:hAnsi="Arial" w:cs="Arial"/>
          <w:color w:val="3C3C00"/>
        </w:rPr>
        <w:t xml:space="preserve">not </w:t>
      </w:r>
      <w:r w:rsidRPr="007E6B06">
        <w:rPr>
          <w:rFonts w:ascii="Arial" w:hAnsi="Arial" w:cs="Arial"/>
          <w:color w:val="000000"/>
        </w:rPr>
        <w:t xml:space="preserve">necessarily </w:t>
      </w:r>
      <w:r w:rsidRPr="007E6B06">
        <w:rPr>
          <w:rFonts w:ascii="Arial" w:hAnsi="Arial" w:cs="Arial"/>
          <w:color w:val="303000"/>
        </w:rPr>
        <w:t xml:space="preserve">reflect </w:t>
      </w:r>
      <w:r w:rsidRPr="007E6B06">
        <w:rPr>
          <w:rFonts w:ascii="Arial" w:hAnsi="Arial" w:cs="Arial"/>
          <w:color w:val="000000"/>
        </w:rPr>
        <w:t xml:space="preserve">the views and policies </w:t>
      </w:r>
      <w:r w:rsidRPr="007E6B06">
        <w:rPr>
          <w:rFonts w:ascii="Arial" w:hAnsi="Arial" w:cs="Arial"/>
          <w:color w:val="484800"/>
        </w:rPr>
        <w:t xml:space="preserve">of </w:t>
      </w:r>
      <w:r w:rsidRPr="007E6B06">
        <w:rPr>
          <w:rFonts w:ascii="Arial" w:hAnsi="Arial" w:cs="Arial"/>
          <w:color w:val="1E1E00"/>
        </w:rPr>
        <w:t>NEIWPCC</w:t>
      </w:r>
      <w:r w:rsidRPr="007E6B06">
        <w:rPr>
          <w:rFonts w:ascii="Arial" w:hAnsi="Arial" w:cs="Arial"/>
          <w:color w:val="606000"/>
        </w:rPr>
        <w:t xml:space="preserve">, </w:t>
      </w:r>
      <w:r w:rsidRPr="007E6B06">
        <w:rPr>
          <w:rFonts w:ascii="Arial" w:hAnsi="Arial" w:cs="Arial"/>
          <w:color w:val="242400"/>
        </w:rPr>
        <w:t>LCBP</w:t>
      </w:r>
      <w:r w:rsidRPr="007E6B06">
        <w:rPr>
          <w:rFonts w:ascii="Arial" w:hAnsi="Arial" w:cs="Arial"/>
          <w:color w:val="696900"/>
        </w:rPr>
        <w:t xml:space="preserve">, </w:t>
      </w:r>
      <w:r w:rsidRPr="007E6B06">
        <w:rPr>
          <w:rFonts w:ascii="Arial" w:hAnsi="Arial" w:cs="Arial"/>
          <w:color w:val="080800"/>
        </w:rPr>
        <w:t xml:space="preserve">or </w:t>
      </w:r>
      <w:r w:rsidRPr="007E6B06">
        <w:rPr>
          <w:rFonts w:ascii="Arial" w:hAnsi="Arial" w:cs="Arial"/>
          <w:color w:val="000000"/>
        </w:rPr>
        <w:t>GLFC</w:t>
      </w:r>
      <w:r w:rsidRPr="007E6B06">
        <w:rPr>
          <w:rFonts w:ascii="Arial" w:hAnsi="Arial" w:cs="Arial"/>
          <w:color w:val="464600"/>
        </w:rPr>
        <w:t xml:space="preserve">, </w:t>
      </w:r>
      <w:r w:rsidRPr="007E6B06">
        <w:rPr>
          <w:rFonts w:ascii="Arial" w:hAnsi="Arial" w:cs="Arial"/>
          <w:color w:val="000000"/>
        </w:rPr>
        <w:t xml:space="preserve">nor </w:t>
      </w:r>
      <w:r w:rsidRPr="007E6B06">
        <w:rPr>
          <w:rFonts w:ascii="Arial" w:hAnsi="Arial" w:cs="Arial"/>
          <w:color w:val="121200"/>
        </w:rPr>
        <w:t xml:space="preserve">does </w:t>
      </w:r>
      <w:r w:rsidRPr="007E6B06">
        <w:rPr>
          <w:rFonts w:ascii="Arial" w:hAnsi="Arial" w:cs="Arial"/>
          <w:color w:val="090900"/>
        </w:rPr>
        <w:t>NEIWPCC</w:t>
      </w:r>
      <w:r w:rsidRPr="007E6B06">
        <w:rPr>
          <w:rFonts w:ascii="Arial" w:hAnsi="Arial" w:cs="Arial"/>
          <w:color w:val="303000"/>
        </w:rPr>
        <w:t xml:space="preserve">, </w:t>
      </w:r>
      <w:r w:rsidRPr="007E6B06">
        <w:rPr>
          <w:rFonts w:ascii="Arial" w:hAnsi="Arial" w:cs="Arial"/>
          <w:color w:val="404000"/>
        </w:rPr>
        <w:t>LCBP</w:t>
      </w:r>
      <w:r w:rsidRPr="007E6B06">
        <w:rPr>
          <w:rFonts w:ascii="Arial" w:hAnsi="Arial" w:cs="Arial"/>
          <w:color w:val="AFAF00"/>
        </w:rPr>
        <w:t xml:space="preserve">, </w:t>
      </w:r>
      <w:r w:rsidRPr="007E6B06">
        <w:rPr>
          <w:rFonts w:ascii="Arial" w:hAnsi="Arial" w:cs="Arial"/>
          <w:color w:val="202000"/>
        </w:rPr>
        <w:t xml:space="preserve">or </w:t>
      </w:r>
      <w:r w:rsidRPr="007E6B06">
        <w:rPr>
          <w:rFonts w:ascii="Arial" w:hAnsi="Arial" w:cs="Arial"/>
          <w:color w:val="000000"/>
        </w:rPr>
        <w:t xml:space="preserve">GLFC </w:t>
      </w:r>
      <w:r w:rsidRPr="007E6B06">
        <w:rPr>
          <w:rFonts w:ascii="Arial" w:hAnsi="Arial" w:cs="Arial"/>
          <w:color w:val="242400"/>
        </w:rPr>
        <w:t xml:space="preserve">endorse </w:t>
      </w:r>
      <w:r w:rsidRPr="007E6B06">
        <w:rPr>
          <w:rFonts w:ascii="Arial" w:hAnsi="Arial" w:cs="Arial"/>
          <w:color w:val="000000"/>
        </w:rPr>
        <w:t xml:space="preserve">trade </w:t>
      </w:r>
      <w:r w:rsidRPr="007E6B06">
        <w:rPr>
          <w:rFonts w:ascii="Arial" w:hAnsi="Arial" w:cs="Arial"/>
          <w:color w:val="303000"/>
        </w:rPr>
        <w:t xml:space="preserve">names </w:t>
      </w:r>
      <w:r w:rsidRPr="007E6B06">
        <w:rPr>
          <w:rFonts w:ascii="Arial" w:hAnsi="Arial" w:cs="Arial"/>
          <w:color w:val="282800"/>
        </w:rPr>
        <w:t xml:space="preserve">or </w:t>
      </w:r>
      <w:r w:rsidRPr="007E6B06">
        <w:rPr>
          <w:rFonts w:ascii="Arial" w:hAnsi="Arial" w:cs="Arial"/>
          <w:color w:val="181800"/>
        </w:rPr>
        <w:t xml:space="preserve">recommend </w:t>
      </w:r>
      <w:r w:rsidRPr="007E6B06">
        <w:rPr>
          <w:rFonts w:ascii="Arial" w:hAnsi="Arial" w:cs="Arial"/>
          <w:color w:val="000000"/>
        </w:rPr>
        <w:t xml:space="preserve">the use </w:t>
      </w:r>
      <w:r w:rsidRPr="007E6B06">
        <w:rPr>
          <w:rFonts w:ascii="Arial" w:hAnsi="Arial" w:cs="Arial"/>
          <w:color w:val="202000"/>
        </w:rPr>
        <w:t xml:space="preserve">of </w:t>
      </w:r>
      <w:r w:rsidRPr="007E6B06">
        <w:rPr>
          <w:rFonts w:ascii="Arial" w:hAnsi="Arial" w:cs="Arial"/>
          <w:color w:val="040400"/>
        </w:rPr>
        <w:t xml:space="preserve">commercial </w:t>
      </w:r>
      <w:r w:rsidRPr="007E6B06">
        <w:rPr>
          <w:rFonts w:ascii="Arial" w:hAnsi="Arial" w:cs="Arial"/>
          <w:color w:val="404000"/>
        </w:rPr>
        <w:t xml:space="preserve">products </w:t>
      </w:r>
      <w:r w:rsidRPr="007E6B06">
        <w:rPr>
          <w:rFonts w:ascii="Arial" w:hAnsi="Arial" w:cs="Arial"/>
          <w:color w:val="181800"/>
        </w:rPr>
        <w:t xml:space="preserve">mentioned </w:t>
      </w:r>
      <w:r w:rsidRPr="007E6B06">
        <w:rPr>
          <w:rFonts w:ascii="Arial" w:hAnsi="Arial" w:cs="Arial"/>
          <w:color w:val="323200"/>
        </w:rPr>
        <w:t xml:space="preserve">in </w:t>
      </w:r>
      <w:r w:rsidRPr="007E6B06">
        <w:rPr>
          <w:rFonts w:ascii="Arial" w:hAnsi="Arial" w:cs="Arial"/>
          <w:color w:val="000000"/>
        </w:rPr>
        <w:t xml:space="preserve">this </w:t>
      </w:r>
      <w:r w:rsidRPr="007E6B06">
        <w:rPr>
          <w:rFonts w:ascii="Arial" w:hAnsi="Arial" w:cs="Arial"/>
          <w:color w:val="3C3C00"/>
        </w:rPr>
        <w:t>document.</w:t>
      </w:r>
    </w:p>
    <w:p w14:paraId="28309E7A" w14:textId="6515EE8B" w:rsidR="00475377" w:rsidRPr="00475377" w:rsidRDefault="00475377">
      <w:pPr>
        <w:rPr>
          <w:rFonts w:ascii="Arial" w:hAnsi="Arial" w:cs="Arial"/>
        </w:rPr>
      </w:pPr>
      <w:r w:rsidRPr="00475377">
        <w:rPr>
          <w:rFonts w:ascii="Arial" w:hAnsi="Arial" w:cs="Arial"/>
          <w:noProof/>
          <w:highlight w:val="yellow"/>
        </w:rPr>
        <w:lastRenderedPageBreak/>
        <w:drawing>
          <wp:inline distT="0" distB="0" distL="0" distR="0" wp14:anchorId="156D44B5" wp14:editId="0F1AA835">
            <wp:extent cx="4559817" cy="1920244"/>
            <wp:effectExtent l="0" t="0" r="0" b="3810"/>
            <wp:docPr id="2" name="Picture 2"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pany nam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59817" cy="1920244"/>
                    </a:xfrm>
                    <a:prstGeom prst="rect">
                      <a:avLst/>
                    </a:prstGeom>
                  </pic:spPr>
                </pic:pic>
              </a:graphicData>
            </a:graphic>
          </wp:inline>
        </w:drawing>
      </w:r>
    </w:p>
    <w:sectPr w:rsidR="00475377" w:rsidRPr="00475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3E"/>
    <w:rsid w:val="00097BFC"/>
    <w:rsid w:val="002641F7"/>
    <w:rsid w:val="003D797E"/>
    <w:rsid w:val="00475377"/>
    <w:rsid w:val="00483571"/>
    <w:rsid w:val="0049243E"/>
    <w:rsid w:val="007E6B06"/>
    <w:rsid w:val="008D71AE"/>
    <w:rsid w:val="00B7187D"/>
    <w:rsid w:val="00DE3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F6FC"/>
  <w15:chartTrackingRefBased/>
  <w15:docId w15:val="{666BA9FE-9E33-4C7F-B6DD-746CFB16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43E"/>
    <w:pPr>
      <w:spacing w:after="0"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1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20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director@clintoncountyhistorical.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Dolton, Patricia</dc:creator>
  <cp:keywords/>
  <dc:description/>
  <cp:lastModifiedBy>Dolton, Patricia</cp:lastModifiedBy>
  <cp:revision>6</cp:revision>
  <dcterms:created xsi:type="dcterms:W3CDTF">2021-06-24T13:36:00Z</dcterms:created>
  <dcterms:modified xsi:type="dcterms:W3CDTF">2021-06-25T17:28:00Z</dcterms:modified>
</cp:coreProperties>
</file>